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</w:rPr>
      </w:pPr>
    </w:p>
    <w:tbl>
      <w:tblPr>
        <w:tblStyle w:val="16"/>
        <w:tblW w:w="11080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834"/>
        <w:gridCol w:w="6111"/>
        <w:gridCol w:w="10"/>
        <w:gridCol w:w="282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tblHeader/>
        </w:trPr>
        <w:tc>
          <w:tcPr>
            <w:tcW w:w="11080" w:type="dxa"/>
            <w:gridSpan w:val="5"/>
            <w:tcBorders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5" w:lineRule="auto"/>
              <w:ind w:left="4140" w:right="4122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LESSON PLAN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  <w:tblHeader/>
        </w:trPr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"/>
              <w:ind w:left="9"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SH. SOHAN SHARMA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"/>
              <w:ind w:left="52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  <w:tblHeader/>
        </w:trPr>
        <w:tc>
          <w:tcPr>
            <w:tcW w:w="213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0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ELECTRICAL ENGINEERING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685"/>
              </w:tabs>
              <w:spacing w:before="30"/>
              <w:ind w:left="1843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  <w:tblHeader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30" w:right="-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3rd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84"/>
              </w:tabs>
              <w:spacing w:before="31"/>
              <w:ind w:left="52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 w:hRule="atLeast"/>
          <w:tblHeader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9"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0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ECEE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835"/>
              </w:tabs>
              <w:spacing w:before="30"/>
              <w:ind w:left="52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Header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30" w:right="-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0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WEEKS(From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15/02/2024  to..  june 2024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0"/>
              <w:ind w:left="52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  <w:tblHeader/>
        </w:trPr>
        <w:tc>
          <w:tcPr>
            <w:tcW w:w="2133" w:type="dxa"/>
            <w:gridSpan w:val="2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1" w:line="266" w:lineRule="auto"/>
              <w:ind w:left="30" w:right="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Work Load (Lecture) per week (in hours)</w:t>
            </w:r>
          </w:p>
        </w:tc>
        <w:tc>
          <w:tcPr>
            <w:tcW w:w="6111" w:type="dxa"/>
            <w:tcBorders>
              <w:top w:val="nil"/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/>
              <w:ind w:lef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Theory- 0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; Practical:02</w:t>
            </w:r>
            <w:bookmarkStart w:id="0" w:name="_GoBack"/>
            <w:bookmarkEnd w:id="0"/>
          </w:p>
        </w:tc>
        <w:tc>
          <w:tcPr>
            <w:tcW w:w="283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67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7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694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"/>
              <w:ind w:left="47" w:right="42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283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"/>
              <w:ind w:right="7397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34" w:lineRule="auto"/>
              <w:ind w:left="68" w:righ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Lecture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3"/>
              <w:ind w:left="68" w:righ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47" w:right="39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836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2409" w:right="6973" w:firstLine="28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63" w:righ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the subject and  the marks distribution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the subject and the marks distribution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Purpose of estimating and costing, Performa for making estimates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50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0"/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7" w:line="268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Preparation of materials schedule,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64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7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costing, price list, preparation of tender document (with 2-3 exercises),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5"/>
              <w:ind w:left="68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net price list, market survey, overhead charges, labour charges, 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Framing of Tender and reply to tender to get job/project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1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8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electrical point method and fixed percentage method, contingency,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2"/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8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profit, purchase system, enquiries, comparative statements, orders for supply, payment of bills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6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49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0"/>
              <w:ind w:left="68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Cleat, batten, casing capping and conduit wiring, 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3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2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comparison of different wiring systems, selection and design of wiring schemes for particular situation (domestic and Industrial).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74"/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2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Selection of wires and cables, wiring accessories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2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Use of protective devices i.e. MCB, ELCB etc. Use of wire-gauge and tables ( to be prepared/arranged)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01"/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9"/>
              <w:ind w:left="68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Domestic installations; standard practice as per IS and IE rules. 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Identification of wiring for different applications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7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Planning of circuits, sub-circuits and position of different accessories, electrical layout,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Planning of circuits, sub-circuits and position of different accessories, electrical layout,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2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7"/>
              <w:ind w:left="68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preparing estimates including cost as per schedule rate pattern and actual market rate (single storey and multi-storey buildings having similar electrical load)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5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Quiz No. 01 and assignment no. 01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7"/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ndustrial installations; relevant IE rules and IS standard practices, planning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0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2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3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93" w:lineRule="auto"/>
              <w:ind w:left="47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8"/>
              <w:ind w:left="68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designing and estimation of installation for single phase motors of different ratings, electrical circuit diagram, starters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2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Quiz No. 01 and Viva Voce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, preparation of list of materials, estimating and costing exercises on workshop with singe-phase, 3-phase motor load and the light load (3-phase supply system)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Service line connections estimate for domestic and industrial loads (over-head and under ground connections) from pole to energy meter.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8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1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tblHeader/>
        </w:trPr>
        <w:tc>
          <w:tcPr>
            <w:tcW w:w="1299" w:type="dxa"/>
            <w:vMerge w:val="restart"/>
            <w:tcBorders>
              <w:bottom w:val="nil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7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7"/>
              <w:ind w:left="68" w:right="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11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ind w:left="47" w:leftChars="0" w:right="23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</w:rPr>
              <w:t>Test of Chapter No. 3.3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179" w:lineRule="auto"/>
              <w:ind w:left="47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tblHeader/>
        </w:trPr>
        <w:tc>
          <w:tcPr>
            <w:tcW w:w="1299" w:type="dxa"/>
            <w:vMerge w:val="continue"/>
            <w:tcBorders>
              <w:bottom w:val="nil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6"/>
              <w:ind w:left="68" w:righ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ind w:left="47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Transmission and distribution lines (overhead and underground) 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Header/>
        </w:trPr>
        <w:tc>
          <w:tcPr>
            <w:tcW w:w="1299" w:type="dxa"/>
            <w:vMerge w:val="continue"/>
            <w:tcBorders>
              <w:bottom w:val="nil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61"/>
              <w:ind w:left="68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ind w:left="47" w:right="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of Chapter No. 3.3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  <w:tblHeader/>
        </w:trPr>
        <w:tc>
          <w:tcPr>
            <w:tcW w:w="1299" w:type="dxa"/>
            <w:tcBorders>
              <w:top w:val="nil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ind w:left="47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7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planning and designing of lines with different fixtures, earthing etc. based on unit cost calculations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47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</w:rPr>
              <w:t>Test of Chapter No. 4.1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7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Substation: Types of substations, 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 w:line="23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substation schemes and components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Prepare an estimate for service connection for residential building having connected load ---- kW.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Estimate of 11/0.4 kV pole mounted substation up to 200 kVA rating, earthing of substations, 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5" w:line="244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Key Diagram of 66 kV/11 kV Substation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 w:line="23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0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6" w:lineRule="auto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Single line diagram, layout sketching of outdoor, indoor 11kV sub-station 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3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Single line diagram, layout sketching of outdoor, indoor 33kV sub-station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 w:line="23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2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9"/>
              <w:ind w:lef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of Chapter No. 4.3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Quiz No. 02 and Viva Voce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4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Quiz No. 02 and Assignment no. 02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8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Exercise: tender – constituents finalization, specimen tender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8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4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1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Visit a nearby substation and list the components with diagram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44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47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</w:rPr>
              <w:t>Test of Chapter no. 05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09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7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</w:rPr>
              <w:t>Quiz No. 03 and Assignment no. 03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 w:line="23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4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 01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44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9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 02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09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 3.1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 w:line="23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9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3.2,</w:t>
            </w:r>
            <w:r>
              <w:rPr>
                <w:color w:val="000000"/>
                <w:sz w:val="24"/>
                <w:szCs w:val="24"/>
              </w:rPr>
              <w:t xml:space="preserve"> 3.3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Internal assessment and Viva Voce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8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9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 4.1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 4.2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6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9"/>
              <w:ind w:lef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restart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/>
              <w:ind w:left="1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15th</w:t>
            </w:r>
          </w:p>
        </w:tc>
        <w:tc>
          <w:tcPr>
            <w:tcW w:w="8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204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1st</w:t>
            </w:r>
          </w:p>
        </w:tc>
        <w:tc>
          <w:tcPr>
            <w:tcW w:w="6121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Revision test of Chapter No. 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2826" w:type="dxa"/>
            <w:vMerge w:val="restart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Internal assessment and Viva Voce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2nd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 of Chapter No. 5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207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3rd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5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Header/>
        </w:trPr>
        <w:tc>
          <w:tcPr>
            <w:tcW w:w="1299" w:type="dxa"/>
            <w:vMerge w:val="continue"/>
            <w:tcBorders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" w:line="235" w:lineRule="auto"/>
              <w:ind w:left="208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4th</w:t>
            </w:r>
          </w:p>
        </w:tc>
        <w:tc>
          <w:tcPr>
            <w:tcW w:w="6121" w:type="dxa"/>
            <w:gridSpan w:val="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9" w:lineRule="auto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test</w:t>
            </w:r>
          </w:p>
        </w:tc>
        <w:tc>
          <w:tcPr>
            <w:tcW w:w="2826" w:type="dxa"/>
            <w:vMerge w:val="continue"/>
            <w:tcBorders>
              <w:left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7" w:h="16839"/>
      <w:pgMar w:top="1080" w:right="1220" w:bottom="280" w:left="88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87D15"/>
    <w:rsid w:val="00587D15"/>
    <w:rsid w:val="00FD09B0"/>
    <w:rsid w:val="23307E7A"/>
    <w:rsid w:val="41396F8F"/>
    <w:rsid w:val="42A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47"/>
    </w:pPr>
  </w:style>
  <w:style w:type="paragraph" w:customStyle="1" w:styleId="15">
    <w:name w:val="Default"/>
    <w:qFormat/>
    <w:uiPriority w:val="0"/>
    <w:pPr>
      <w:widowControl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IN" w:eastAsia="en-US" w:bidi="ar-SA"/>
    </w:rPr>
  </w:style>
  <w:style w:type="table" w:customStyle="1" w:styleId="16">
    <w:name w:val="_Style 15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sS1YdFE/kzv51VbGDqY/1dlFQ==">AMUW2mUabTnsAge8JDTrGhjXLUBcMr0UbH7PKkeI3YPwDyFQd482Rfu5sHYrUATCHLbXZcCmghe3Jx1Q3Aof5k/QvV/5/9pLaw1dHTuTouQNCNltPa8oIZU=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638</Words>
  <Characters>3637</Characters>
  <Lines>30</Lines>
  <Paragraphs>8</Paragraphs>
  <TotalTime>5</TotalTime>
  <ScaleCrop>false</ScaleCrop>
  <LinksUpToDate>false</LinksUpToDate>
  <CharactersWithSpaces>4267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2019-07-16T09:57:00Z</dcterms:created>
  <dc:creator>ee</dc:creator>
  <cp:lastModifiedBy>Pardeep Kumar</cp:lastModifiedBy>
  <dcterms:modified xsi:type="dcterms:W3CDTF">2024-02-09T06:25:40Z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2019-07-16T00:00:00Z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52C8B0338CE845C59991A8E577D722B2_12</vt:lpwstr>
  </property>
</Properties>
</file>